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54"/>
        <w:ind w:left="304"/>
        <w:rPr>
          <w:rFonts w:hint="eastAsia" w:ascii="黑体" w:eastAsia="黑体"/>
          <w:lang w:val="en-US" w:eastAsia="zh-CN"/>
        </w:rPr>
      </w:pPr>
      <w:r>
        <w:rPr>
          <w:rFonts w:hint="eastAsia" w:ascii="黑体" w:eastAsia="黑体"/>
          <w:spacing w:val="-27"/>
        </w:rPr>
        <w:t xml:space="preserve">附件 </w:t>
      </w:r>
      <w:r>
        <w:rPr>
          <w:rFonts w:hint="eastAsia" w:ascii="黑体" w:eastAsia="黑体"/>
          <w:spacing w:val="-27"/>
          <w:lang w:val="en-US" w:eastAsia="zh-CN"/>
        </w:rPr>
        <w:t>2</w:t>
      </w:r>
    </w:p>
    <w:p>
      <w:pPr>
        <w:pStyle w:val="4"/>
        <w:spacing w:before="9"/>
        <w:rPr>
          <w:rFonts w:ascii="黑体"/>
          <w:sz w:val="44"/>
        </w:rPr>
      </w:pPr>
      <w:r>
        <w:br w:type="column"/>
      </w:r>
    </w:p>
    <w:p>
      <w:pPr>
        <w:pStyle w:val="3"/>
        <w:spacing w:before="1" w:line="290" w:lineRule="auto"/>
        <w:ind w:left="1079" w:right="1479" w:hanging="776"/>
        <w:jc w:val="both"/>
      </w:pPr>
      <w:r>
        <w:t>山西省高等学校哲学社会科学研究项目(思想政治教育专项)课题指南</w:t>
      </w:r>
    </w:p>
    <w:p>
      <w:pPr>
        <w:spacing w:after="0" w:line="290" w:lineRule="auto"/>
        <w:sectPr>
          <w:type w:val="continuous"/>
          <w:pgSz w:w="11910" w:h="16840"/>
          <w:pgMar w:top="1580" w:right="940" w:bottom="280" w:left="1340" w:header="720" w:footer="720" w:gutter="0"/>
          <w:cols w:equalWidth="0" w:num="2">
            <w:col w:w="1224" w:space="497"/>
            <w:col w:w="7909"/>
          </w:cols>
        </w:sectPr>
      </w:pPr>
    </w:p>
    <w:p>
      <w:pPr>
        <w:pStyle w:val="4"/>
        <w:rPr>
          <w:sz w:val="20"/>
        </w:rPr>
      </w:pPr>
    </w:p>
    <w:p>
      <w:pPr>
        <w:pStyle w:val="4"/>
        <w:rPr>
          <w:sz w:val="23"/>
        </w:rPr>
      </w:pPr>
    </w:p>
    <w:p>
      <w:pPr>
        <w:pStyle w:val="4"/>
        <w:spacing w:before="55"/>
        <w:ind w:left="944"/>
        <w:rPr>
          <w:rFonts w:hint="eastAsia" w:ascii="黑体" w:eastAsia="黑体"/>
        </w:rPr>
      </w:pPr>
      <w:r>
        <w:rPr>
          <w:rFonts w:hint="eastAsia" w:ascii="黑体" w:eastAsia="黑体"/>
        </w:rPr>
        <w:t>一、思想政治工作课题</w:t>
      </w:r>
    </w:p>
    <w:p>
      <w:pPr>
        <w:pStyle w:val="8"/>
        <w:numPr>
          <w:ilvl w:val="0"/>
          <w:numId w:val="1"/>
        </w:numPr>
        <w:tabs>
          <w:tab w:val="left" w:pos="1344"/>
        </w:tabs>
        <w:spacing w:before="149" w:after="0" w:line="240" w:lineRule="auto"/>
        <w:ind w:left="1343" w:right="0" w:hanging="400"/>
        <w:jc w:val="left"/>
        <w:rPr>
          <w:sz w:val="32"/>
        </w:rPr>
      </w:pPr>
      <w:r>
        <w:rPr>
          <w:sz w:val="32"/>
        </w:rPr>
        <w:t>习近平新时代中国特色社会主义思想宣传教育研究</w:t>
      </w:r>
    </w:p>
    <w:p>
      <w:pPr>
        <w:pStyle w:val="8"/>
        <w:numPr>
          <w:ilvl w:val="0"/>
          <w:numId w:val="1"/>
        </w:numPr>
        <w:tabs>
          <w:tab w:val="left" w:pos="1264"/>
        </w:tabs>
        <w:spacing w:before="149" w:after="0" w:line="240" w:lineRule="auto"/>
        <w:ind w:left="1264" w:right="0" w:hanging="320"/>
        <w:jc w:val="left"/>
        <w:rPr>
          <w:sz w:val="32"/>
        </w:rPr>
      </w:pPr>
      <w:r>
        <w:rPr>
          <w:rFonts w:ascii="Times New Roman" w:hAnsi="Times New Roman" w:eastAsia="Times New Roman"/>
          <w:sz w:val="32"/>
        </w:rPr>
        <w:t>“</w:t>
      </w:r>
      <w:r>
        <w:rPr>
          <w:sz w:val="32"/>
        </w:rPr>
        <w:t>三全育人</w:t>
      </w:r>
      <w:r>
        <w:rPr>
          <w:rFonts w:ascii="Times New Roman" w:hAnsi="Times New Roman" w:eastAsia="Times New Roman"/>
          <w:sz w:val="32"/>
        </w:rPr>
        <w:t>”</w:t>
      </w:r>
      <w:r>
        <w:rPr>
          <w:sz w:val="32"/>
        </w:rPr>
        <w:t>的实现路径和保障机制研究</w:t>
      </w:r>
    </w:p>
    <w:p>
      <w:pPr>
        <w:pStyle w:val="8"/>
        <w:numPr>
          <w:ilvl w:val="0"/>
          <w:numId w:val="1"/>
        </w:numPr>
        <w:tabs>
          <w:tab w:val="left" w:pos="1344"/>
        </w:tabs>
        <w:spacing w:before="152" w:after="0" w:line="240" w:lineRule="auto"/>
        <w:ind w:left="1343" w:right="0" w:hanging="400"/>
        <w:jc w:val="left"/>
        <w:rPr>
          <w:sz w:val="32"/>
        </w:rPr>
      </w:pPr>
      <w:r>
        <w:rPr>
          <w:sz w:val="32"/>
        </w:rPr>
        <w:t>新时代高校思想政治工作评价考核指标体系研究</w:t>
      </w:r>
    </w:p>
    <w:p>
      <w:pPr>
        <w:pStyle w:val="8"/>
        <w:numPr>
          <w:ilvl w:val="0"/>
          <w:numId w:val="1"/>
        </w:numPr>
        <w:tabs>
          <w:tab w:val="left" w:pos="1344"/>
        </w:tabs>
        <w:spacing w:before="149" w:after="0" w:line="240" w:lineRule="auto"/>
        <w:ind w:left="1343" w:right="0" w:hanging="400"/>
        <w:jc w:val="left"/>
        <w:rPr>
          <w:sz w:val="32"/>
        </w:rPr>
      </w:pPr>
      <w:r>
        <w:rPr>
          <w:sz w:val="32"/>
        </w:rPr>
        <w:t>高校意识形态和思想舆论阵地建设研究</w:t>
      </w:r>
    </w:p>
    <w:p>
      <w:pPr>
        <w:pStyle w:val="8"/>
        <w:numPr>
          <w:ilvl w:val="0"/>
          <w:numId w:val="1"/>
        </w:numPr>
        <w:tabs>
          <w:tab w:val="left" w:pos="1344"/>
        </w:tabs>
        <w:spacing w:before="149" w:after="0" w:line="240" w:lineRule="auto"/>
        <w:ind w:left="1343" w:right="0" w:hanging="400"/>
        <w:jc w:val="left"/>
        <w:rPr>
          <w:sz w:val="32"/>
        </w:rPr>
      </w:pPr>
      <w:r>
        <w:rPr>
          <w:sz w:val="32"/>
        </w:rPr>
        <w:t>网络意识形态传播及治理研究</w:t>
      </w:r>
    </w:p>
    <w:p>
      <w:pPr>
        <w:pStyle w:val="8"/>
        <w:numPr>
          <w:ilvl w:val="0"/>
          <w:numId w:val="1"/>
        </w:numPr>
        <w:tabs>
          <w:tab w:val="left" w:pos="1344"/>
        </w:tabs>
        <w:spacing w:before="152" w:after="0" w:line="240" w:lineRule="auto"/>
        <w:ind w:left="1343" w:right="0" w:hanging="400"/>
        <w:jc w:val="left"/>
        <w:rPr>
          <w:sz w:val="32"/>
        </w:rPr>
      </w:pPr>
      <w:r>
        <w:rPr>
          <w:sz w:val="32"/>
        </w:rPr>
        <w:t>大中小幼德育一体化体系建设研究</w:t>
      </w:r>
    </w:p>
    <w:p>
      <w:pPr>
        <w:pStyle w:val="8"/>
        <w:numPr>
          <w:ilvl w:val="0"/>
          <w:numId w:val="1"/>
        </w:numPr>
        <w:tabs>
          <w:tab w:val="left" w:pos="1344"/>
        </w:tabs>
        <w:spacing w:before="149" w:after="0" w:line="240" w:lineRule="auto"/>
        <w:ind w:left="1343" w:right="0" w:hanging="400"/>
        <w:jc w:val="left"/>
        <w:rPr>
          <w:sz w:val="32"/>
        </w:rPr>
      </w:pPr>
      <w:r>
        <w:rPr>
          <w:w w:val="95"/>
          <w:sz w:val="32"/>
        </w:rPr>
        <w:t>高校课程思政育人的内涵与机制研究</w:t>
      </w:r>
    </w:p>
    <w:p>
      <w:pPr>
        <w:pStyle w:val="8"/>
        <w:numPr>
          <w:ilvl w:val="0"/>
          <w:numId w:val="1"/>
        </w:numPr>
        <w:tabs>
          <w:tab w:val="left" w:pos="1344"/>
        </w:tabs>
        <w:spacing w:before="149" w:after="0" w:line="240" w:lineRule="auto"/>
        <w:ind w:left="1343" w:right="0" w:hanging="400"/>
        <w:jc w:val="left"/>
        <w:rPr>
          <w:sz w:val="32"/>
        </w:rPr>
      </w:pPr>
      <w:r>
        <w:rPr>
          <w:w w:val="95"/>
          <w:sz w:val="32"/>
        </w:rPr>
        <w:t>高校师生心理健康教育工作体系研究</w:t>
      </w:r>
    </w:p>
    <w:p>
      <w:pPr>
        <w:pStyle w:val="8"/>
        <w:numPr>
          <w:ilvl w:val="0"/>
          <w:numId w:val="1"/>
        </w:numPr>
        <w:tabs>
          <w:tab w:val="left" w:pos="1344"/>
        </w:tabs>
        <w:spacing w:before="152" w:after="0" w:line="240" w:lineRule="auto"/>
        <w:ind w:left="1343" w:right="0" w:hanging="400"/>
        <w:jc w:val="left"/>
        <w:rPr>
          <w:sz w:val="32"/>
        </w:rPr>
      </w:pPr>
      <w:r>
        <w:rPr>
          <w:sz w:val="32"/>
        </w:rPr>
        <w:t>新时代高校思想政治工作队伍素质能力提升研究</w:t>
      </w:r>
    </w:p>
    <w:p>
      <w:pPr>
        <w:pStyle w:val="8"/>
        <w:numPr>
          <w:ilvl w:val="0"/>
          <w:numId w:val="1"/>
        </w:numPr>
        <w:tabs>
          <w:tab w:val="left" w:pos="1504"/>
        </w:tabs>
        <w:spacing w:before="149" w:after="0" w:line="240" w:lineRule="auto"/>
        <w:ind w:left="1504" w:right="0" w:hanging="560"/>
        <w:jc w:val="left"/>
        <w:rPr>
          <w:sz w:val="32"/>
        </w:rPr>
      </w:pPr>
      <w:r>
        <w:rPr>
          <w:sz w:val="32"/>
        </w:rPr>
        <w:t>加强</w:t>
      </w:r>
      <w:r>
        <w:rPr>
          <w:rFonts w:hint="eastAsia"/>
          <w:sz w:val="32"/>
          <w:lang w:eastAsia="zh-CN"/>
        </w:rPr>
        <w:t>网络</w:t>
      </w:r>
      <w:r>
        <w:rPr>
          <w:sz w:val="32"/>
        </w:rPr>
        <w:t>空间道德建设研究</w:t>
      </w:r>
    </w:p>
    <w:p>
      <w:pPr>
        <w:pStyle w:val="8"/>
        <w:numPr>
          <w:ilvl w:val="0"/>
          <w:numId w:val="1"/>
        </w:numPr>
        <w:tabs>
          <w:tab w:val="left" w:pos="1492"/>
        </w:tabs>
        <w:spacing w:before="149" w:after="0" w:line="240" w:lineRule="auto"/>
        <w:ind w:left="1492" w:right="0" w:hanging="548"/>
        <w:jc w:val="left"/>
        <w:rPr>
          <w:sz w:val="32"/>
        </w:rPr>
      </w:pPr>
      <w:r>
        <w:rPr>
          <w:sz w:val="32"/>
        </w:rPr>
        <w:t>新时代大学生爱国主义教育研究</w:t>
      </w:r>
    </w:p>
    <w:p>
      <w:pPr>
        <w:pStyle w:val="4"/>
        <w:rPr>
          <w:sz w:val="20"/>
        </w:rPr>
      </w:pPr>
    </w:p>
    <w:p>
      <w:pPr>
        <w:pStyle w:val="4"/>
        <w:rPr>
          <w:sz w:val="20"/>
        </w:rPr>
      </w:pPr>
    </w:p>
    <w:p>
      <w:pPr>
        <w:pStyle w:val="4"/>
        <w:rPr>
          <w:sz w:val="20"/>
        </w:rPr>
      </w:pPr>
      <w:bookmarkStart w:id="0" w:name="_GoBack"/>
      <w:bookmarkEnd w:id="0"/>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spacing w:before="4"/>
        <w:rPr>
          <w:sz w:val="24"/>
        </w:rPr>
      </w:pPr>
    </w:p>
    <w:p>
      <w:pPr>
        <w:spacing w:before="64"/>
        <w:ind w:left="0" w:right="169" w:firstLine="0"/>
        <w:jc w:val="center"/>
        <w:rPr>
          <w:rFonts w:ascii="Calibri"/>
          <w:sz w:val="18"/>
        </w:rPr>
      </w:pPr>
      <w:r>
        <w:rPr>
          <w:rFonts w:ascii="Calibri"/>
          <w:sz w:val="18"/>
        </w:rPr>
        <w:t>1</w:t>
      </w:r>
    </w:p>
    <w:p>
      <w:pPr>
        <w:spacing w:after="0"/>
        <w:jc w:val="center"/>
        <w:rPr>
          <w:rFonts w:ascii="Calibri"/>
          <w:sz w:val="18"/>
        </w:rPr>
        <w:sectPr>
          <w:type w:val="continuous"/>
          <w:pgSz w:w="11910" w:h="16840"/>
          <w:pgMar w:top="1580" w:right="940" w:bottom="280" w:left="1340" w:header="720" w:footer="720" w:gutter="0"/>
        </w:sectPr>
      </w:pPr>
    </w:p>
    <w:p>
      <w:pPr>
        <w:pStyle w:val="4"/>
        <w:spacing w:before="5"/>
        <w:rPr>
          <w:rFonts w:ascii="Calibri"/>
          <w:sz w:val="14"/>
        </w:rPr>
      </w:pPr>
    </w:p>
    <w:p>
      <w:pPr>
        <w:pStyle w:val="4"/>
        <w:spacing w:before="55"/>
        <w:ind w:left="944"/>
        <w:rPr>
          <w:rFonts w:hint="eastAsia" w:ascii="黑体" w:eastAsia="黑体"/>
        </w:rPr>
      </w:pPr>
      <w:r>
        <w:rPr>
          <w:rFonts w:hint="eastAsia" w:ascii="黑体" w:eastAsia="黑体"/>
        </w:rPr>
        <w:t>二、辅导员骨干专项课题</w:t>
      </w:r>
    </w:p>
    <w:p>
      <w:pPr>
        <w:pStyle w:val="8"/>
        <w:numPr>
          <w:ilvl w:val="0"/>
          <w:numId w:val="2"/>
        </w:numPr>
        <w:tabs>
          <w:tab w:val="left" w:pos="1424"/>
        </w:tabs>
        <w:spacing w:before="151" w:after="0" w:line="326" w:lineRule="auto"/>
        <w:ind w:left="304" w:right="522" w:firstLine="640"/>
        <w:jc w:val="left"/>
        <w:rPr>
          <w:sz w:val="32"/>
        </w:rPr>
      </w:pPr>
      <w:r>
        <w:rPr>
          <w:sz w:val="32"/>
        </w:rPr>
        <w:t>大学生学习宣传习近平新时代中国特色社会主义思想路径与机制研究</w:t>
      </w:r>
    </w:p>
    <w:p>
      <w:pPr>
        <w:pStyle w:val="8"/>
        <w:numPr>
          <w:ilvl w:val="0"/>
          <w:numId w:val="2"/>
        </w:numPr>
        <w:tabs>
          <w:tab w:val="left" w:pos="1344"/>
        </w:tabs>
        <w:spacing w:before="4" w:after="0" w:line="240" w:lineRule="auto"/>
        <w:ind w:left="1343" w:right="0" w:hanging="400"/>
        <w:jc w:val="left"/>
        <w:rPr>
          <w:sz w:val="32"/>
        </w:rPr>
      </w:pPr>
      <w:r>
        <w:rPr>
          <w:sz w:val="32"/>
        </w:rPr>
        <w:t>少数民族学生思想政治教育的现状和对策研究</w:t>
      </w:r>
    </w:p>
    <w:p>
      <w:pPr>
        <w:pStyle w:val="8"/>
        <w:numPr>
          <w:ilvl w:val="0"/>
          <w:numId w:val="2"/>
        </w:numPr>
        <w:tabs>
          <w:tab w:val="left" w:pos="1425"/>
        </w:tabs>
        <w:spacing w:before="151" w:after="0" w:line="240" w:lineRule="auto"/>
        <w:ind w:left="1424" w:right="0" w:hanging="481"/>
        <w:jc w:val="left"/>
        <w:rPr>
          <w:sz w:val="32"/>
        </w:rPr>
      </w:pPr>
      <w:r>
        <w:rPr>
          <w:sz w:val="32"/>
        </w:rPr>
        <w:t>中华优秀传统文化融入大学生日常思想政治教育研究</w:t>
      </w:r>
    </w:p>
    <w:p>
      <w:pPr>
        <w:pStyle w:val="8"/>
        <w:numPr>
          <w:ilvl w:val="0"/>
          <w:numId w:val="2"/>
        </w:numPr>
        <w:tabs>
          <w:tab w:val="left" w:pos="1424"/>
        </w:tabs>
        <w:spacing w:before="149" w:after="0" w:line="240" w:lineRule="auto"/>
        <w:ind w:left="1423" w:right="0" w:hanging="480"/>
        <w:jc w:val="left"/>
        <w:rPr>
          <w:sz w:val="32"/>
        </w:rPr>
      </w:pPr>
      <w:r>
        <w:rPr>
          <w:sz w:val="32"/>
        </w:rPr>
        <w:t>高校开展新时代爱国主义教育形式和载体研究</w:t>
      </w:r>
    </w:p>
    <w:p>
      <w:pPr>
        <w:pStyle w:val="8"/>
        <w:numPr>
          <w:ilvl w:val="0"/>
          <w:numId w:val="2"/>
        </w:numPr>
        <w:tabs>
          <w:tab w:val="left" w:pos="1344"/>
        </w:tabs>
        <w:spacing w:before="150" w:after="0" w:line="240" w:lineRule="auto"/>
        <w:ind w:left="1343" w:right="0" w:hanging="400"/>
        <w:jc w:val="left"/>
        <w:rPr>
          <w:sz w:val="32"/>
        </w:rPr>
      </w:pPr>
      <w:r>
        <w:rPr>
          <w:sz w:val="32"/>
        </w:rPr>
        <w:t>新时代高校辅导员阶段性发展特点与支持策略研究</w:t>
      </w:r>
    </w:p>
    <w:p>
      <w:pPr>
        <w:pStyle w:val="8"/>
        <w:numPr>
          <w:ilvl w:val="0"/>
          <w:numId w:val="2"/>
        </w:numPr>
        <w:tabs>
          <w:tab w:val="left" w:pos="1264"/>
        </w:tabs>
        <w:spacing w:before="151" w:after="0" w:line="240" w:lineRule="auto"/>
        <w:ind w:left="1264" w:right="0" w:hanging="320"/>
        <w:jc w:val="left"/>
        <w:rPr>
          <w:sz w:val="32"/>
        </w:rPr>
      </w:pPr>
      <w:r>
        <w:rPr>
          <w:rFonts w:ascii="Times New Roman" w:hAnsi="Times New Roman" w:eastAsia="Times New Roman"/>
          <w:sz w:val="32"/>
        </w:rPr>
        <w:t>“</w:t>
      </w:r>
      <w:r>
        <w:rPr>
          <w:sz w:val="32"/>
        </w:rPr>
        <w:t>三全育人</w:t>
      </w:r>
      <w:r>
        <w:rPr>
          <w:rFonts w:ascii="Times New Roman" w:hAnsi="Times New Roman" w:eastAsia="Times New Roman"/>
          <w:sz w:val="32"/>
        </w:rPr>
        <w:t>”</w:t>
      </w:r>
      <w:r>
        <w:rPr>
          <w:sz w:val="32"/>
        </w:rPr>
        <w:t>体系下高校辅导员角色定位与作用发挥研究</w:t>
      </w:r>
    </w:p>
    <w:p>
      <w:pPr>
        <w:pStyle w:val="8"/>
        <w:numPr>
          <w:ilvl w:val="0"/>
          <w:numId w:val="2"/>
        </w:numPr>
        <w:tabs>
          <w:tab w:val="left" w:pos="1344"/>
        </w:tabs>
        <w:spacing w:before="149" w:after="0" w:line="240" w:lineRule="auto"/>
        <w:ind w:left="1343" w:right="0" w:hanging="400"/>
        <w:jc w:val="left"/>
        <w:rPr>
          <w:sz w:val="32"/>
        </w:rPr>
      </w:pPr>
      <w:r>
        <w:rPr>
          <w:sz w:val="32"/>
        </w:rPr>
        <w:t>高校学生危机事件有效应对与处置策略研究</w:t>
      </w:r>
    </w:p>
    <w:p>
      <w:pPr>
        <w:pStyle w:val="8"/>
        <w:numPr>
          <w:ilvl w:val="0"/>
          <w:numId w:val="2"/>
        </w:numPr>
        <w:tabs>
          <w:tab w:val="left" w:pos="1344"/>
        </w:tabs>
        <w:spacing w:before="150" w:after="0" w:line="240" w:lineRule="auto"/>
        <w:ind w:left="1343" w:right="0" w:hanging="400"/>
        <w:jc w:val="left"/>
        <w:rPr>
          <w:sz w:val="32"/>
        </w:rPr>
      </w:pPr>
      <w:r>
        <w:rPr>
          <w:sz w:val="32"/>
        </w:rPr>
        <w:t>利用重要契机开展思想政治教育研究</w:t>
      </w:r>
    </w:p>
    <w:p>
      <w:pPr>
        <w:pStyle w:val="8"/>
        <w:numPr>
          <w:ilvl w:val="0"/>
          <w:numId w:val="2"/>
        </w:numPr>
        <w:tabs>
          <w:tab w:val="left" w:pos="1344"/>
        </w:tabs>
        <w:spacing w:before="151" w:after="0" w:line="240" w:lineRule="auto"/>
        <w:ind w:left="1343" w:right="0" w:hanging="400"/>
        <w:jc w:val="left"/>
        <w:rPr>
          <w:sz w:val="32"/>
        </w:rPr>
      </w:pPr>
      <w:r>
        <w:rPr>
          <w:sz w:val="32"/>
        </w:rPr>
        <w:t>大学生心理健康教育与咨询服务规范化研究</w:t>
      </w:r>
    </w:p>
    <w:p>
      <w:pPr>
        <w:pStyle w:val="8"/>
        <w:numPr>
          <w:ilvl w:val="0"/>
          <w:numId w:val="2"/>
        </w:numPr>
        <w:tabs>
          <w:tab w:val="left" w:pos="1504"/>
        </w:tabs>
        <w:spacing w:before="149" w:after="0" w:line="240" w:lineRule="auto"/>
        <w:ind w:left="1504" w:right="0" w:hanging="560"/>
        <w:jc w:val="left"/>
        <w:rPr>
          <w:sz w:val="32"/>
        </w:rPr>
      </w:pPr>
      <w:r>
        <w:rPr>
          <w:sz w:val="32"/>
        </w:rPr>
        <w:t>加强网上热点话题和突发事件的正确引导研究</w:t>
      </w: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spacing w:before="1"/>
        <w:rPr>
          <w:sz w:val="19"/>
        </w:rPr>
      </w:pPr>
    </w:p>
    <w:p>
      <w:pPr>
        <w:spacing w:before="64"/>
        <w:ind w:left="0" w:right="169" w:firstLine="0"/>
        <w:jc w:val="center"/>
        <w:rPr>
          <w:rFonts w:ascii="Calibri"/>
          <w:sz w:val="18"/>
        </w:rPr>
      </w:pPr>
      <w:r>
        <w:rPr>
          <w:rFonts w:ascii="Calibri"/>
          <w:sz w:val="18"/>
        </w:rPr>
        <w:t>2</w:t>
      </w:r>
    </w:p>
    <w:sectPr>
      <w:pgSz w:w="11910" w:h="16840"/>
      <w:pgMar w:top="1580" w:right="940" w:bottom="280" w:left="13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Arial Black"/>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Microsoft JhengHei">
    <w:panose1 w:val="020B0604030504040204"/>
    <w:charset w:val="88"/>
    <w:family w:val="swiss"/>
    <w:pitch w:val="default"/>
    <w:sig w:usb0="00000087" w:usb1="28AF4000" w:usb2="00000016" w:usb3="00000000" w:csb0="00100009" w:csb1="00000000"/>
  </w:font>
  <w:font w:name="Arial Black">
    <w:panose1 w:val="020B0A04020102020204"/>
    <w:charset w:val="00"/>
    <w:family w:val="auto"/>
    <w:pitch w:val="default"/>
    <w:sig w:usb0="00000287" w:usb1="00000000" w:usb2="00000000" w:usb3="00000000" w:csb0="2000009F" w:csb1="DFD70000"/>
  </w:font>
  <w:font w:name="Arial Black">
    <w:panose1 w:val="020B0A04020102020204"/>
    <w:charset w:val="01"/>
    <w:family w:val="swiss"/>
    <w:pitch w:val="default"/>
    <w:sig w:usb0="00000287" w:usb1="00000000" w:usb2="00000000" w:usb3="00000000" w:csb0="2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B654F3"/>
    <w:multiLevelType w:val="multilevel"/>
    <w:tmpl w:val="25B654F3"/>
    <w:lvl w:ilvl="0" w:tentative="0">
      <w:start w:val="1"/>
      <w:numFmt w:val="decimal"/>
      <w:lvlText w:val="%1."/>
      <w:lvlJc w:val="left"/>
      <w:pPr>
        <w:ind w:left="1343" w:hanging="399"/>
        <w:jc w:val="left"/>
      </w:pPr>
      <w:rPr>
        <w:rFonts w:hint="default" w:ascii="Times New Roman" w:hAnsi="Times New Roman" w:eastAsia="Times New Roman" w:cs="Times New Roman"/>
        <w:spacing w:val="0"/>
        <w:w w:val="99"/>
        <w:sz w:val="32"/>
        <w:szCs w:val="32"/>
        <w:lang w:val="zh-CN" w:eastAsia="zh-CN" w:bidi="zh-CN"/>
      </w:rPr>
    </w:lvl>
    <w:lvl w:ilvl="1" w:tentative="0">
      <w:start w:val="0"/>
      <w:numFmt w:val="bullet"/>
      <w:lvlText w:val="•"/>
      <w:lvlJc w:val="left"/>
      <w:pPr>
        <w:ind w:left="2168" w:hanging="399"/>
      </w:pPr>
      <w:rPr>
        <w:rFonts w:hint="default"/>
        <w:lang w:val="zh-CN" w:eastAsia="zh-CN" w:bidi="zh-CN"/>
      </w:rPr>
    </w:lvl>
    <w:lvl w:ilvl="2" w:tentative="0">
      <w:start w:val="0"/>
      <w:numFmt w:val="bullet"/>
      <w:lvlText w:val="•"/>
      <w:lvlJc w:val="left"/>
      <w:pPr>
        <w:ind w:left="2997" w:hanging="399"/>
      </w:pPr>
      <w:rPr>
        <w:rFonts w:hint="default"/>
        <w:lang w:val="zh-CN" w:eastAsia="zh-CN" w:bidi="zh-CN"/>
      </w:rPr>
    </w:lvl>
    <w:lvl w:ilvl="3" w:tentative="0">
      <w:start w:val="0"/>
      <w:numFmt w:val="bullet"/>
      <w:lvlText w:val="•"/>
      <w:lvlJc w:val="left"/>
      <w:pPr>
        <w:ind w:left="3825" w:hanging="399"/>
      </w:pPr>
      <w:rPr>
        <w:rFonts w:hint="default"/>
        <w:lang w:val="zh-CN" w:eastAsia="zh-CN" w:bidi="zh-CN"/>
      </w:rPr>
    </w:lvl>
    <w:lvl w:ilvl="4" w:tentative="0">
      <w:start w:val="0"/>
      <w:numFmt w:val="bullet"/>
      <w:lvlText w:val="•"/>
      <w:lvlJc w:val="left"/>
      <w:pPr>
        <w:ind w:left="4654" w:hanging="399"/>
      </w:pPr>
      <w:rPr>
        <w:rFonts w:hint="default"/>
        <w:lang w:val="zh-CN" w:eastAsia="zh-CN" w:bidi="zh-CN"/>
      </w:rPr>
    </w:lvl>
    <w:lvl w:ilvl="5" w:tentative="0">
      <w:start w:val="0"/>
      <w:numFmt w:val="bullet"/>
      <w:lvlText w:val="•"/>
      <w:lvlJc w:val="left"/>
      <w:pPr>
        <w:ind w:left="5483" w:hanging="399"/>
      </w:pPr>
      <w:rPr>
        <w:rFonts w:hint="default"/>
        <w:lang w:val="zh-CN" w:eastAsia="zh-CN" w:bidi="zh-CN"/>
      </w:rPr>
    </w:lvl>
    <w:lvl w:ilvl="6" w:tentative="0">
      <w:start w:val="0"/>
      <w:numFmt w:val="bullet"/>
      <w:lvlText w:val="•"/>
      <w:lvlJc w:val="left"/>
      <w:pPr>
        <w:ind w:left="6311" w:hanging="399"/>
      </w:pPr>
      <w:rPr>
        <w:rFonts w:hint="default"/>
        <w:lang w:val="zh-CN" w:eastAsia="zh-CN" w:bidi="zh-CN"/>
      </w:rPr>
    </w:lvl>
    <w:lvl w:ilvl="7" w:tentative="0">
      <w:start w:val="0"/>
      <w:numFmt w:val="bullet"/>
      <w:lvlText w:val="•"/>
      <w:lvlJc w:val="left"/>
      <w:pPr>
        <w:ind w:left="7140" w:hanging="399"/>
      </w:pPr>
      <w:rPr>
        <w:rFonts w:hint="default"/>
        <w:lang w:val="zh-CN" w:eastAsia="zh-CN" w:bidi="zh-CN"/>
      </w:rPr>
    </w:lvl>
    <w:lvl w:ilvl="8" w:tentative="0">
      <w:start w:val="0"/>
      <w:numFmt w:val="bullet"/>
      <w:lvlText w:val="•"/>
      <w:lvlJc w:val="left"/>
      <w:pPr>
        <w:ind w:left="7968" w:hanging="399"/>
      </w:pPr>
      <w:rPr>
        <w:rFonts w:hint="default"/>
        <w:lang w:val="zh-CN" w:eastAsia="zh-CN" w:bidi="zh-CN"/>
      </w:rPr>
    </w:lvl>
  </w:abstractNum>
  <w:abstractNum w:abstractNumId="1">
    <w:nsid w:val="72183CF9"/>
    <w:multiLevelType w:val="multilevel"/>
    <w:tmpl w:val="72183CF9"/>
    <w:lvl w:ilvl="0" w:tentative="0">
      <w:start w:val="1"/>
      <w:numFmt w:val="decimal"/>
      <w:lvlText w:val="%1."/>
      <w:lvlJc w:val="left"/>
      <w:pPr>
        <w:ind w:left="304" w:hanging="479"/>
        <w:jc w:val="left"/>
      </w:pPr>
      <w:rPr>
        <w:rFonts w:hint="default" w:ascii="Times New Roman" w:hAnsi="Times New Roman" w:eastAsia="Times New Roman" w:cs="Times New Roman"/>
        <w:spacing w:val="-2"/>
        <w:w w:val="99"/>
        <w:sz w:val="30"/>
        <w:szCs w:val="30"/>
        <w:lang w:val="zh-CN" w:eastAsia="zh-CN" w:bidi="zh-CN"/>
      </w:rPr>
    </w:lvl>
    <w:lvl w:ilvl="1" w:tentative="0">
      <w:start w:val="0"/>
      <w:numFmt w:val="bullet"/>
      <w:lvlText w:val="•"/>
      <w:lvlJc w:val="left"/>
      <w:pPr>
        <w:ind w:left="1232" w:hanging="479"/>
      </w:pPr>
      <w:rPr>
        <w:rFonts w:hint="default"/>
        <w:lang w:val="zh-CN" w:eastAsia="zh-CN" w:bidi="zh-CN"/>
      </w:rPr>
    </w:lvl>
    <w:lvl w:ilvl="2" w:tentative="0">
      <w:start w:val="0"/>
      <w:numFmt w:val="bullet"/>
      <w:lvlText w:val="•"/>
      <w:lvlJc w:val="left"/>
      <w:pPr>
        <w:ind w:left="2165" w:hanging="479"/>
      </w:pPr>
      <w:rPr>
        <w:rFonts w:hint="default"/>
        <w:lang w:val="zh-CN" w:eastAsia="zh-CN" w:bidi="zh-CN"/>
      </w:rPr>
    </w:lvl>
    <w:lvl w:ilvl="3" w:tentative="0">
      <w:start w:val="0"/>
      <w:numFmt w:val="bullet"/>
      <w:lvlText w:val="•"/>
      <w:lvlJc w:val="left"/>
      <w:pPr>
        <w:ind w:left="3097" w:hanging="479"/>
      </w:pPr>
      <w:rPr>
        <w:rFonts w:hint="default"/>
        <w:lang w:val="zh-CN" w:eastAsia="zh-CN" w:bidi="zh-CN"/>
      </w:rPr>
    </w:lvl>
    <w:lvl w:ilvl="4" w:tentative="0">
      <w:start w:val="0"/>
      <w:numFmt w:val="bullet"/>
      <w:lvlText w:val="•"/>
      <w:lvlJc w:val="left"/>
      <w:pPr>
        <w:ind w:left="4030" w:hanging="479"/>
      </w:pPr>
      <w:rPr>
        <w:rFonts w:hint="default"/>
        <w:lang w:val="zh-CN" w:eastAsia="zh-CN" w:bidi="zh-CN"/>
      </w:rPr>
    </w:lvl>
    <w:lvl w:ilvl="5" w:tentative="0">
      <w:start w:val="0"/>
      <w:numFmt w:val="bullet"/>
      <w:lvlText w:val="•"/>
      <w:lvlJc w:val="left"/>
      <w:pPr>
        <w:ind w:left="4963" w:hanging="479"/>
      </w:pPr>
      <w:rPr>
        <w:rFonts w:hint="default"/>
        <w:lang w:val="zh-CN" w:eastAsia="zh-CN" w:bidi="zh-CN"/>
      </w:rPr>
    </w:lvl>
    <w:lvl w:ilvl="6" w:tentative="0">
      <w:start w:val="0"/>
      <w:numFmt w:val="bullet"/>
      <w:lvlText w:val="•"/>
      <w:lvlJc w:val="left"/>
      <w:pPr>
        <w:ind w:left="5895" w:hanging="479"/>
      </w:pPr>
      <w:rPr>
        <w:rFonts w:hint="default"/>
        <w:lang w:val="zh-CN" w:eastAsia="zh-CN" w:bidi="zh-CN"/>
      </w:rPr>
    </w:lvl>
    <w:lvl w:ilvl="7" w:tentative="0">
      <w:start w:val="0"/>
      <w:numFmt w:val="bullet"/>
      <w:lvlText w:val="•"/>
      <w:lvlJc w:val="left"/>
      <w:pPr>
        <w:ind w:left="6828" w:hanging="479"/>
      </w:pPr>
      <w:rPr>
        <w:rFonts w:hint="default"/>
        <w:lang w:val="zh-CN" w:eastAsia="zh-CN" w:bidi="zh-CN"/>
      </w:rPr>
    </w:lvl>
    <w:lvl w:ilvl="8" w:tentative="0">
      <w:start w:val="0"/>
      <w:numFmt w:val="bullet"/>
      <w:lvlText w:val="•"/>
      <w:lvlJc w:val="left"/>
      <w:pPr>
        <w:ind w:left="7760" w:hanging="479"/>
      </w:pPr>
      <w:rPr>
        <w:rFonts w:hint="default"/>
        <w:lang w:val="zh-CN" w:eastAsia="zh-CN" w:bidi="zh-C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4E02CB"/>
    <w:rsid w:val="2C8749C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outlineLvl w:val="1"/>
    </w:pPr>
    <w:rPr>
      <w:rFonts w:ascii="Microsoft JhengHei" w:hAnsi="Microsoft JhengHei" w:eastAsia="Microsoft JhengHei" w:cs="Microsoft JhengHei"/>
      <w:b/>
      <w:bCs/>
      <w:sz w:val="72"/>
      <w:szCs w:val="72"/>
      <w:lang w:val="zh-CN" w:eastAsia="zh-CN" w:bidi="zh-CN"/>
    </w:rPr>
  </w:style>
  <w:style w:type="paragraph" w:styleId="3">
    <w:name w:val="heading 2"/>
    <w:basedOn w:val="1"/>
    <w:next w:val="1"/>
    <w:qFormat/>
    <w:uiPriority w:val="1"/>
    <w:pPr>
      <w:ind w:left="236"/>
      <w:outlineLvl w:val="2"/>
    </w:pPr>
    <w:rPr>
      <w:rFonts w:ascii="宋体" w:hAnsi="宋体" w:eastAsia="宋体" w:cs="宋体"/>
      <w:sz w:val="36"/>
      <w:szCs w:val="36"/>
      <w:lang w:val="zh-CN" w:eastAsia="zh-CN" w:bidi="zh-CN"/>
    </w:rPr>
  </w:style>
  <w:style w:type="character" w:default="1" w:styleId="6">
    <w:name w:val="Default Paragraph Font"/>
    <w:semiHidden/>
    <w:unhideWhenUsed/>
    <w:qFormat/>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spacing w:before="149"/>
      <w:ind w:left="1343" w:hanging="400"/>
    </w:pPr>
    <w:rPr>
      <w:rFonts w:ascii="宋体" w:hAnsi="宋体" w:eastAsia="宋体" w:cs="宋体"/>
      <w:lang w:val="zh-CN" w:eastAsia="zh-CN" w:bidi="zh-CN"/>
    </w:rPr>
  </w:style>
  <w:style w:type="paragraph" w:customStyle="1" w:styleId="9">
    <w:name w:val="Table Paragraph"/>
    <w:basedOn w:val="1"/>
    <w:qFormat/>
    <w:uiPriority w:val="1"/>
    <w:pPr>
      <w:ind w:left="958"/>
      <w:jc w:val="center"/>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ScaleCrop>false</ScaleCrop>
  <LinksUpToDate>false</LinksUpToDate>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2020-04-11T00:19:00Z</dcterms:created>
  <dc:creator>罗建红</dc:creator>
  <cp:lastModifiedBy>一口咬到麻木</cp:lastModifiedBy>
  <dcterms:modified xsi:type="dcterms:W3CDTF">2020-04-11T02:07:27Z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2020-04-10T00:00:00Z</vt:filetime>
  </property>
  <property fmtid="{D5CDD505-2E9C-101B-9397-08002B2CF9AE}" pid="3" name="Creator">
    <vt:lpwstr>WPS Office</vt:lpwstr>
  </property>
  <property fmtid="{D5CDD505-2E9C-101B-9397-08002B2CF9AE}" pid="4" name="LastSaved">
    <vt:filetime>2020-04-11T00:00:00Z</vt:filetime>
  </property>
  <property fmtid="{D5CDD505-2E9C-101B-9397-08002B2CF9AE}" pid="5" name="KSOProductBuildVer">
    <vt:lpwstr>2052-11.1.0.9584</vt:lpwstr>
  </property>
</Properties>
</file>